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9E8F" w14:textId="73BE6623" w:rsidR="00703AAA" w:rsidRPr="002C62DA" w:rsidRDefault="00703AAA" w:rsidP="002C62DA">
      <w:pPr>
        <w:spacing w:line="276" w:lineRule="auto"/>
        <w:jc w:val="center"/>
        <w:rPr>
          <w:b/>
          <w:bCs/>
          <w:sz w:val="24"/>
          <w:szCs w:val="24"/>
        </w:rPr>
      </w:pPr>
      <w:r w:rsidRPr="002C62DA">
        <w:rPr>
          <w:b/>
          <w:bCs/>
          <w:sz w:val="24"/>
          <w:szCs w:val="24"/>
        </w:rPr>
        <w:t xml:space="preserve">Professional Learning Opportunities </w:t>
      </w:r>
      <w:r w:rsidR="002C62DA" w:rsidRPr="002C62DA">
        <w:rPr>
          <w:b/>
          <w:bCs/>
          <w:sz w:val="24"/>
          <w:szCs w:val="24"/>
        </w:rPr>
        <w:t>with</w:t>
      </w:r>
      <w:r w:rsidRPr="002C62DA">
        <w:rPr>
          <w:b/>
          <w:bCs/>
          <w:sz w:val="24"/>
          <w:szCs w:val="24"/>
        </w:rPr>
        <w:t xml:space="preserve"> Dr. Karin Hess</w:t>
      </w:r>
    </w:p>
    <w:p w14:paraId="6973EF80" w14:textId="7DACB2E4" w:rsidR="00703AAA" w:rsidRPr="002C62DA" w:rsidRDefault="00703AAA" w:rsidP="002C62DA">
      <w:pPr>
        <w:pStyle w:val="font8"/>
        <w:spacing w:before="0" w:beforeAutospacing="0" w:after="0" w:afterAutospacing="0" w:line="276" w:lineRule="auto"/>
        <w:ind w:left="720"/>
        <w:textAlignment w:val="baseline"/>
        <w:rPr>
          <w:rFonts w:asciiTheme="minorHAnsi" w:hAnsiTheme="minorHAnsi" w:cstheme="minorHAnsi"/>
          <w:sz w:val="22"/>
          <w:szCs w:val="22"/>
        </w:rPr>
      </w:pPr>
      <w:r w:rsidRPr="002C62DA">
        <w:rPr>
          <w:rFonts w:asciiTheme="minorHAnsi" w:hAnsiTheme="minorHAnsi" w:cstheme="minorHAnsi"/>
          <w:sz w:val="22"/>
          <w:szCs w:val="22"/>
        </w:rPr>
        <w:t xml:space="preserve">Dr. Karin Hess, author/coauthor of a dozen books/book chapters and the </w:t>
      </w:r>
      <w:hyperlink r:id="rId5" w:history="1">
        <w:r w:rsidRPr="002C62DA">
          <w:rPr>
            <w:rStyle w:val="Hyperlink"/>
            <w:rFonts w:asciiTheme="minorHAnsi" w:hAnsiTheme="minorHAnsi" w:cstheme="minorHAnsi"/>
            <w:i/>
            <w:iCs/>
            <w:sz w:val="22"/>
            <w:szCs w:val="22"/>
          </w:rPr>
          <w:t>Hess Cognitive Rigor Matrices</w:t>
        </w:r>
      </w:hyperlink>
      <w:r w:rsidRPr="002C62DA">
        <w:rPr>
          <w:rFonts w:asciiTheme="minorHAnsi" w:hAnsiTheme="minorHAnsi" w:cstheme="minorHAnsi"/>
          <w:sz w:val="22"/>
          <w:szCs w:val="22"/>
        </w:rPr>
        <w:t>, is</w:t>
      </w:r>
      <w:r w:rsidRPr="002C62DA">
        <w:rPr>
          <w:rFonts w:asciiTheme="minorHAnsi" w:hAnsiTheme="minorHAnsi" w:cstheme="minorHAnsi"/>
          <w:sz w:val="22"/>
          <w:szCs w:val="22"/>
          <w:shd w:val="clear" w:color="auto" w:fill="FFFFFF"/>
        </w:rPr>
        <w:t xml:space="preserve"> a former classroom teacher and school administrator. </w:t>
      </w:r>
      <w:r w:rsidRPr="002C62DA">
        <w:rPr>
          <w:rFonts w:asciiTheme="minorHAnsi" w:hAnsiTheme="minorHAnsi" w:cstheme="minorHAnsi"/>
          <w:sz w:val="22"/>
          <w:szCs w:val="22"/>
        </w:rPr>
        <w:t xml:space="preserve">She is recognized internationally as a leader in applying the concepts of cognitive rigor, depth of knowledge (DOK), and learning progressions to the development of state and school-based curriculum and assessment systems. Over the years, she has distinguished herself as a content expert in multiple content areas, specializing in the design and use of </w:t>
      </w:r>
      <w:r w:rsidR="00EE31C1">
        <w:rPr>
          <w:rFonts w:asciiTheme="minorHAnsi" w:hAnsiTheme="minorHAnsi" w:cstheme="minorHAnsi"/>
          <w:sz w:val="22"/>
          <w:szCs w:val="22"/>
        </w:rPr>
        <w:t xml:space="preserve">formative and </w:t>
      </w:r>
      <w:r w:rsidRPr="002C62DA">
        <w:rPr>
          <w:rFonts w:asciiTheme="minorHAnsi" w:hAnsiTheme="minorHAnsi" w:cstheme="minorHAnsi"/>
          <w:sz w:val="22"/>
          <w:szCs w:val="22"/>
        </w:rPr>
        <w:t xml:space="preserve">performance-based assessments for preK-12 and competency-based education. </w:t>
      </w:r>
    </w:p>
    <w:p w14:paraId="410F6C5C" w14:textId="77777777" w:rsidR="00703AAA" w:rsidRPr="002C62DA" w:rsidRDefault="00703AAA" w:rsidP="002C62DA">
      <w:pPr>
        <w:spacing w:line="276" w:lineRule="auto"/>
        <w:rPr>
          <w:sz w:val="24"/>
          <w:szCs w:val="24"/>
        </w:rPr>
      </w:pPr>
    </w:p>
    <w:p w14:paraId="3A20B9A0" w14:textId="5C57833F" w:rsidR="002C62DA" w:rsidRDefault="00703AAA" w:rsidP="002C62DA">
      <w:pPr>
        <w:spacing w:line="276" w:lineRule="auto"/>
        <w:rPr>
          <w:sz w:val="24"/>
          <w:szCs w:val="24"/>
        </w:rPr>
      </w:pPr>
      <w:r w:rsidRPr="002C62DA">
        <w:rPr>
          <w:sz w:val="24"/>
          <w:szCs w:val="24"/>
        </w:rPr>
        <w:t xml:space="preserve">Dr. Hess offers a variety of workshop opportunities to school leaders and teachers in deeper learning </w:t>
      </w:r>
      <w:r w:rsidR="002C62DA">
        <w:rPr>
          <w:sz w:val="24"/>
          <w:szCs w:val="24"/>
        </w:rPr>
        <w:t>-</w:t>
      </w:r>
      <w:r w:rsidRPr="002C62DA">
        <w:rPr>
          <w:sz w:val="24"/>
          <w:szCs w:val="24"/>
        </w:rPr>
        <w:t xml:space="preserve"> applying depth of knowledge/DOK to curriculum, instruction, and assessment design. Workshop</w:t>
      </w:r>
      <w:r w:rsidR="00661388">
        <w:rPr>
          <w:sz w:val="24"/>
          <w:szCs w:val="24"/>
        </w:rPr>
        <w:t xml:space="preserve"> plans </w:t>
      </w:r>
      <w:r w:rsidR="00A06CB9">
        <w:rPr>
          <w:sz w:val="24"/>
          <w:szCs w:val="24"/>
        </w:rPr>
        <w:t>can</w:t>
      </w:r>
      <w:r w:rsidRPr="002C62DA">
        <w:rPr>
          <w:sz w:val="24"/>
          <w:szCs w:val="24"/>
        </w:rPr>
        <w:t xml:space="preserve"> include a combination of in-person and virtual presentations customized for each school or district. </w:t>
      </w:r>
    </w:p>
    <w:p w14:paraId="0C1ECB83" w14:textId="6543FBFA" w:rsidR="00703AAA" w:rsidRDefault="002C62DA" w:rsidP="002C62DA">
      <w:pPr>
        <w:spacing w:line="276" w:lineRule="auto"/>
        <w:rPr>
          <w:sz w:val="24"/>
          <w:szCs w:val="24"/>
        </w:rPr>
      </w:pPr>
      <w:r>
        <w:rPr>
          <w:sz w:val="24"/>
          <w:szCs w:val="24"/>
        </w:rPr>
        <w:t xml:space="preserve">If you are serious about making a lasting impact on teaching and assessment practices </w:t>
      </w:r>
      <w:r w:rsidRPr="002C62DA">
        <w:rPr>
          <w:sz w:val="24"/>
          <w:szCs w:val="24"/>
        </w:rPr>
        <w:t>across classrooms in your schools</w:t>
      </w:r>
      <w:r>
        <w:rPr>
          <w:sz w:val="24"/>
          <w:szCs w:val="24"/>
        </w:rPr>
        <w:t xml:space="preserve">, Karin suggests </w:t>
      </w:r>
      <w:r w:rsidR="00661388">
        <w:rPr>
          <w:sz w:val="24"/>
          <w:szCs w:val="24"/>
        </w:rPr>
        <w:t>plann</w:t>
      </w:r>
      <w:r>
        <w:rPr>
          <w:sz w:val="24"/>
          <w:szCs w:val="24"/>
        </w:rPr>
        <w:t xml:space="preserve">ing ongoing </w:t>
      </w:r>
      <w:r w:rsidRPr="002C62DA">
        <w:rPr>
          <w:sz w:val="24"/>
          <w:szCs w:val="24"/>
        </w:rPr>
        <w:t>professional learning</w:t>
      </w:r>
      <w:r>
        <w:rPr>
          <w:sz w:val="24"/>
          <w:szCs w:val="24"/>
        </w:rPr>
        <w:t xml:space="preserve"> sessions, </w:t>
      </w:r>
      <w:r w:rsidRPr="002C62DA">
        <w:rPr>
          <w:sz w:val="24"/>
          <w:szCs w:val="24"/>
        </w:rPr>
        <w:t>with time for implementation</w:t>
      </w:r>
      <w:r>
        <w:rPr>
          <w:sz w:val="24"/>
          <w:szCs w:val="24"/>
        </w:rPr>
        <w:t>,</w:t>
      </w:r>
      <w:r w:rsidRPr="002C62DA">
        <w:rPr>
          <w:sz w:val="24"/>
          <w:szCs w:val="24"/>
        </w:rPr>
        <w:t xml:space="preserve"> practice</w:t>
      </w:r>
      <w:r>
        <w:rPr>
          <w:sz w:val="24"/>
          <w:szCs w:val="24"/>
        </w:rPr>
        <w:t>,</w:t>
      </w:r>
      <w:r w:rsidRPr="002C62DA">
        <w:rPr>
          <w:sz w:val="24"/>
          <w:szCs w:val="24"/>
        </w:rPr>
        <w:t xml:space="preserve"> and reflection in between</w:t>
      </w:r>
      <w:r>
        <w:rPr>
          <w:sz w:val="24"/>
          <w:szCs w:val="24"/>
        </w:rPr>
        <w:t xml:space="preserve">. </w:t>
      </w:r>
      <w:r w:rsidRPr="002C62DA">
        <w:rPr>
          <w:sz w:val="24"/>
          <w:szCs w:val="24"/>
        </w:rPr>
        <w:t>Currently</w:t>
      </w:r>
      <w:r>
        <w:rPr>
          <w:sz w:val="24"/>
          <w:szCs w:val="24"/>
        </w:rPr>
        <w:t>,</w:t>
      </w:r>
      <w:r w:rsidR="00EE31C1">
        <w:rPr>
          <w:sz w:val="24"/>
          <w:szCs w:val="24"/>
        </w:rPr>
        <w:t xml:space="preserve"> most of</w:t>
      </w:r>
      <w:r>
        <w:rPr>
          <w:sz w:val="24"/>
          <w:szCs w:val="24"/>
        </w:rPr>
        <w:t xml:space="preserve"> </w:t>
      </w:r>
      <w:r w:rsidRPr="002C62DA">
        <w:rPr>
          <w:sz w:val="24"/>
          <w:szCs w:val="24"/>
        </w:rPr>
        <w:t>Kar</w:t>
      </w:r>
      <w:r>
        <w:rPr>
          <w:sz w:val="24"/>
          <w:szCs w:val="24"/>
        </w:rPr>
        <w:t>i</w:t>
      </w:r>
      <w:r w:rsidRPr="002C62DA">
        <w:rPr>
          <w:sz w:val="24"/>
          <w:szCs w:val="24"/>
        </w:rPr>
        <w:t>n’s work</w:t>
      </w:r>
      <w:r>
        <w:rPr>
          <w:sz w:val="24"/>
          <w:szCs w:val="24"/>
        </w:rPr>
        <w:t xml:space="preserve"> </w:t>
      </w:r>
      <w:r w:rsidRPr="002C62DA">
        <w:rPr>
          <w:sz w:val="24"/>
          <w:szCs w:val="24"/>
        </w:rPr>
        <w:t>is built around her 2023 book</w:t>
      </w:r>
      <w:r>
        <w:rPr>
          <w:sz w:val="24"/>
          <w:szCs w:val="24"/>
        </w:rPr>
        <w:t xml:space="preserve"> </w:t>
      </w:r>
      <w:hyperlink r:id="rId6" w:history="1">
        <w:r w:rsidRPr="002C62DA">
          <w:rPr>
            <w:rStyle w:val="Hyperlink"/>
            <w:i/>
            <w:iCs/>
            <w:sz w:val="24"/>
            <w:szCs w:val="24"/>
          </w:rPr>
          <w:t>Rigor by Design, Not Chance</w:t>
        </w:r>
      </w:hyperlink>
      <w:r>
        <w:rPr>
          <w:sz w:val="24"/>
          <w:szCs w:val="24"/>
        </w:rPr>
        <w:t>.</w:t>
      </w:r>
      <w:r w:rsidRPr="002C62DA">
        <w:rPr>
          <w:sz w:val="24"/>
          <w:szCs w:val="24"/>
        </w:rPr>
        <w:t xml:space="preserve"> </w:t>
      </w:r>
      <w:r w:rsidR="00661388" w:rsidRPr="00661388">
        <w:rPr>
          <w:sz w:val="24"/>
          <w:szCs w:val="24"/>
        </w:rPr>
        <w:t xml:space="preserve">Some schools begin with </w:t>
      </w:r>
      <w:r w:rsidR="00A06CB9">
        <w:rPr>
          <w:sz w:val="24"/>
          <w:szCs w:val="24"/>
        </w:rPr>
        <w:t>a half-</w:t>
      </w:r>
      <w:r w:rsidR="00661388" w:rsidRPr="00661388">
        <w:rPr>
          <w:sz w:val="24"/>
          <w:szCs w:val="24"/>
        </w:rPr>
        <w:t xml:space="preserve">day in person presentation followed by </w:t>
      </w:r>
      <w:r w:rsidR="00EE31C1">
        <w:rPr>
          <w:sz w:val="24"/>
          <w:szCs w:val="24"/>
        </w:rPr>
        <w:t>2 -</w:t>
      </w:r>
      <w:r w:rsidR="00661388" w:rsidRPr="00661388">
        <w:rPr>
          <w:sz w:val="24"/>
          <w:szCs w:val="24"/>
        </w:rPr>
        <w:t xml:space="preserve"> 4 follow</w:t>
      </w:r>
      <w:r w:rsidR="00661388">
        <w:rPr>
          <w:sz w:val="24"/>
          <w:szCs w:val="24"/>
        </w:rPr>
        <w:t>-</w:t>
      </w:r>
      <w:r w:rsidR="00661388" w:rsidRPr="00661388">
        <w:rPr>
          <w:sz w:val="24"/>
          <w:szCs w:val="24"/>
        </w:rPr>
        <w:t>up webinars</w:t>
      </w:r>
      <w:r w:rsidR="00661388">
        <w:rPr>
          <w:sz w:val="24"/>
          <w:szCs w:val="24"/>
        </w:rPr>
        <w:t xml:space="preserve">. </w:t>
      </w:r>
      <w:r w:rsidR="00661388" w:rsidRPr="00661388">
        <w:rPr>
          <w:sz w:val="24"/>
          <w:szCs w:val="24"/>
        </w:rPr>
        <w:t>Other schools choose to schedule a series of four to six webinars spread across the school year</w:t>
      </w:r>
      <w:r w:rsidR="00661388">
        <w:rPr>
          <w:sz w:val="24"/>
          <w:szCs w:val="24"/>
        </w:rPr>
        <w:t xml:space="preserve">. </w:t>
      </w:r>
      <w:r w:rsidR="00661388" w:rsidRPr="00661388">
        <w:rPr>
          <w:sz w:val="24"/>
          <w:szCs w:val="24"/>
        </w:rPr>
        <w:t>Some schools choose to start with school leaders and instructional coaches and then involve the entire teaching staff</w:t>
      </w:r>
      <w:r w:rsidR="00B34F35">
        <w:rPr>
          <w:sz w:val="24"/>
          <w:szCs w:val="24"/>
        </w:rPr>
        <w:t xml:space="preserve"> </w:t>
      </w:r>
      <w:r w:rsidR="00A06CB9">
        <w:rPr>
          <w:sz w:val="24"/>
          <w:szCs w:val="24"/>
        </w:rPr>
        <w:t xml:space="preserve">in </w:t>
      </w:r>
      <w:r w:rsidR="00B34F35" w:rsidRPr="00B34F35">
        <w:rPr>
          <w:sz w:val="24"/>
          <w:szCs w:val="24"/>
        </w:rPr>
        <w:t>similar workshops</w:t>
      </w:r>
      <w:r w:rsidR="00661388">
        <w:rPr>
          <w:sz w:val="24"/>
          <w:szCs w:val="24"/>
        </w:rPr>
        <w:t xml:space="preserve">. </w:t>
      </w:r>
      <w:r w:rsidR="00B34F35" w:rsidRPr="00B34F35">
        <w:rPr>
          <w:sz w:val="24"/>
          <w:szCs w:val="24"/>
        </w:rPr>
        <w:t>All workshops are designed to be interactive and use video clips and content examples to illustrate key points</w:t>
      </w:r>
      <w:r w:rsidR="00B34F35">
        <w:rPr>
          <w:sz w:val="24"/>
          <w:szCs w:val="24"/>
        </w:rPr>
        <w:t xml:space="preserve">. </w:t>
      </w:r>
      <w:r w:rsidR="00A06CB9">
        <w:rPr>
          <w:sz w:val="24"/>
          <w:szCs w:val="24"/>
        </w:rPr>
        <w:t xml:space="preserve">Karin also provides access to a wealth of materials posted on her </w:t>
      </w:r>
      <w:hyperlink r:id="rId7" w:history="1">
        <w:r w:rsidR="00A06CB9" w:rsidRPr="00A06CB9">
          <w:rPr>
            <w:rStyle w:val="Hyperlink"/>
            <w:sz w:val="24"/>
            <w:szCs w:val="24"/>
          </w:rPr>
          <w:t>website</w:t>
        </w:r>
      </w:hyperlink>
      <w:r w:rsidR="00A06CB9">
        <w:rPr>
          <w:sz w:val="24"/>
          <w:szCs w:val="24"/>
        </w:rPr>
        <w:t xml:space="preserve">. </w:t>
      </w:r>
      <w:r w:rsidR="00661388" w:rsidRPr="00661388">
        <w:rPr>
          <w:sz w:val="24"/>
          <w:szCs w:val="24"/>
        </w:rPr>
        <w:t>Below or a few of the topics or resources that Kar</w:t>
      </w:r>
      <w:r w:rsidR="00661388">
        <w:rPr>
          <w:sz w:val="24"/>
          <w:szCs w:val="24"/>
        </w:rPr>
        <w:t>i</w:t>
      </w:r>
      <w:r w:rsidR="00661388" w:rsidRPr="00661388">
        <w:rPr>
          <w:sz w:val="24"/>
          <w:szCs w:val="24"/>
        </w:rPr>
        <w:t>n suggests</w:t>
      </w:r>
      <w:r w:rsidR="00661388">
        <w:rPr>
          <w:sz w:val="24"/>
          <w:szCs w:val="24"/>
        </w:rPr>
        <w:t>.</w:t>
      </w:r>
    </w:p>
    <w:p w14:paraId="50D59A7C" w14:textId="77777777" w:rsidR="0034051A" w:rsidRDefault="0034051A" w:rsidP="002C62DA">
      <w:pPr>
        <w:spacing w:line="276" w:lineRule="auto"/>
        <w:rPr>
          <w:sz w:val="24"/>
          <w:szCs w:val="24"/>
        </w:rPr>
      </w:pPr>
    </w:p>
    <w:p w14:paraId="5A9C0198" w14:textId="77777777" w:rsidR="0034051A" w:rsidRDefault="00661388" w:rsidP="00661388">
      <w:pPr>
        <w:pStyle w:val="ListParagraph"/>
        <w:numPr>
          <w:ilvl w:val="0"/>
          <w:numId w:val="1"/>
        </w:numPr>
        <w:spacing w:line="276" w:lineRule="auto"/>
      </w:pPr>
      <w:r w:rsidRPr="0034051A">
        <w:rPr>
          <w:b/>
          <w:bCs/>
          <w:sz w:val="24"/>
          <w:szCs w:val="24"/>
        </w:rPr>
        <w:t>Building background knowledge in depth of knowledge/DOK and deeper learning</w:t>
      </w:r>
      <w:r w:rsidR="0034051A">
        <w:t xml:space="preserve"> </w:t>
      </w:r>
    </w:p>
    <w:p w14:paraId="5EE50A2D" w14:textId="538CC630" w:rsidR="00661388" w:rsidRPr="009F3AA0" w:rsidRDefault="0034051A" w:rsidP="0034051A">
      <w:pPr>
        <w:pStyle w:val="ListParagraph"/>
        <w:spacing w:line="276" w:lineRule="auto"/>
      </w:pPr>
      <w:r>
        <w:t>P</w:t>
      </w:r>
      <w:r w:rsidR="00661388" w:rsidRPr="009F3AA0">
        <w:t>rior to working with Karen, she suggests that participants view or read short articles about rigor and depth of knowledge. This lays the groundwork for building a common language around deeper learning. Karin</w:t>
      </w:r>
      <w:r w:rsidR="00C26CA4" w:rsidRPr="009F3AA0">
        <w:t xml:space="preserve"> likes to provide a</w:t>
      </w:r>
      <w:r w:rsidR="00661388" w:rsidRPr="009F3AA0">
        <w:t xml:space="preserve"> “prereading/viewing playlist” </w:t>
      </w:r>
      <w:r w:rsidR="00C26CA4" w:rsidRPr="009F3AA0">
        <w:t xml:space="preserve">that </w:t>
      </w:r>
      <w:r w:rsidR="00661388" w:rsidRPr="009F3AA0">
        <w:t xml:space="preserve">includes watching a 50-minute, on-demand webinar, </w:t>
      </w:r>
      <w:hyperlink r:id="rId8" w:history="1">
        <w:r w:rsidR="00661388" w:rsidRPr="009F3AA0">
          <w:rPr>
            <w:rStyle w:val="Hyperlink"/>
            <w:i/>
            <w:iCs/>
          </w:rPr>
          <w:t>Looking f</w:t>
        </w:r>
        <w:r w:rsidR="00C26CA4" w:rsidRPr="009F3AA0">
          <w:rPr>
            <w:rStyle w:val="Hyperlink"/>
            <w:i/>
            <w:iCs/>
          </w:rPr>
          <w:t>o</w:t>
        </w:r>
        <w:r w:rsidR="00661388" w:rsidRPr="009F3AA0">
          <w:rPr>
            <w:rStyle w:val="Hyperlink"/>
            <w:i/>
            <w:iCs/>
          </w:rPr>
          <w:t>r Rigor</w:t>
        </w:r>
        <w:r w:rsidR="00C26CA4" w:rsidRPr="009F3AA0">
          <w:rPr>
            <w:rStyle w:val="Hyperlink"/>
            <w:i/>
            <w:iCs/>
          </w:rPr>
          <w:t xml:space="preserve"> in All the Right Places</w:t>
        </w:r>
      </w:hyperlink>
      <w:r w:rsidR="00C26CA4" w:rsidRPr="009F3AA0">
        <w:t xml:space="preserve"> or </w:t>
      </w:r>
      <w:hyperlink r:id="rId9" w:history="1">
        <w:r w:rsidR="00C26CA4" w:rsidRPr="009F3AA0">
          <w:rPr>
            <w:rStyle w:val="Hyperlink"/>
          </w:rPr>
          <w:t>reading a blog post</w:t>
        </w:r>
      </w:hyperlink>
      <w:r w:rsidR="00C26CA4" w:rsidRPr="009F3AA0">
        <w:t xml:space="preserve"> about rigor or </w:t>
      </w:r>
      <w:hyperlink r:id="rId10" w:history="1">
        <w:r w:rsidR="00C26CA4" w:rsidRPr="009F3AA0">
          <w:rPr>
            <w:rStyle w:val="Hyperlink"/>
          </w:rPr>
          <w:t>strategic scaffolding</w:t>
        </w:r>
      </w:hyperlink>
      <w:r w:rsidR="00C26CA4" w:rsidRPr="009F3AA0">
        <w:t xml:space="preserve">. </w:t>
      </w:r>
    </w:p>
    <w:p w14:paraId="77841F9E" w14:textId="77777777" w:rsidR="00C26CA4" w:rsidRPr="0034051A" w:rsidRDefault="00C26CA4" w:rsidP="00C26CA4">
      <w:pPr>
        <w:pStyle w:val="ListParagraph"/>
        <w:numPr>
          <w:ilvl w:val="0"/>
          <w:numId w:val="1"/>
        </w:numPr>
        <w:spacing w:line="276" w:lineRule="auto"/>
        <w:rPr>
          <w:rFonts w:eastAsia="Times New Roman" w:cstheme="minorHAnsi"/>
          <w:b/>
          <w:bCs/>
          <w:color w:val="222222"/>
          <w:sz w:val="24"/>
          <w:szCs w:val="24"/>
        </w:rPr>
      </w:pPr>
      <w:bookmarkStart w:id="0" w:name="_Hlk29546885"/>
      <w:r w:rsidRPr="0034051A">
        <w:rPr>
          <w:rFonts w:cstheme="minorHAnsi"/>
          <w:b/>
          <w:bCs/>
          <w:sz w:val="24"/>
          <w:szCs w:val="24"/>
        </w:rPr>
        <w:t xml:space="preserve">Are your students thinking deeply or just working harder? </w:t>
      </w:r>
      <w:r w:rsidRPr="0034051A">
        <w:rPr>
          <w:rFonts w:eastAsia="Times New Roman" w:cstheme="minorHAnsi"/>
          <w:b/>
          <w:bCs/>
          <w:color w:val="222222"/>
          <w:sz w:val="24"/>
          <w:szCs w:val="24"/>
        </w:rPr>
        <w:t xml:space="preserve"> Infusing Rigor into Instruction &amp; Assessment</w:t>
      </w:r>
    </w:p>
    <w:p w14:paraId="6BBB7601" w14:textId="35D1F6C3" w:rsidR="00C26CA4" w:rsidRPr="009F3AA0" w:rsidRDefault="00C26CA4" w:rsidP="009F3AA0">
      <w:pPr>
        <w:pStyle w:val="ListParagraph"/>
        <w:spacing w:line="276" w:lineRule="auto"/>
        <w:rPr>
          <w:rFonts w:cstheme="minorHAnsi"/>
          <w:b/>
          <w:color w:val="0070C0"/>
          <w:sz w:val="24"/>
          <w:szCs w:val="24"/>
        </w:rPr>
      </w:pPr>
      <w:r w:rsidRPr="009F3AA0">
        <w:rPr>
          <w:rFonts w:cstheme="minorHAnsi"/>
        </w:rPr>
        <w:t>In this session, we</w:t>
      </w:r>
      <w:r w:rsidR="009F3AA0" w:rsidRPr="009F3AA0">
        <w:rPr>
          <w:rFonts w:cstheme="minorHAnsi"/>
        </w:rPr>
        <w:t xml:space="preserve"> </w:t>
      </w:r>
      <w:r w:rsidRPr="009F3AA0">
        <w:rPr>
          <w:rFonts w:cstheme="minorHAnsi"/>
        </w:rPr>
        <w:t xml:space="preserve">begin by developing a shared understanding of DOK/rigor and dispel </w:t>
      </w:r>
      <w:r w:rsidR="0034051A">
        <w:rPr>
          <w:rFonts w:cstheme="minorHAnsi"/>
        </w:rPr>
        <w:t xml:space="preserve">many </w:t>
      </w:r>
      <w:r w:rsidRPr="009F3AA0">
        <w:rPr>
          <w:rFonts w:cstheme="minorHAnsi"/>
        </w:rPr>
        <w:t xml:space="preserve">common misconceptions about what increased rigor actually looks like in the classroom. Karin will share how she applied cognitive research (how the brain learns) to develop her Cognitive Rigor Matrix and then apply that research to </w:t>
      </w:r>
      <w:r w:rsidRPr="009F3AA0">
        <w:rPr>
          <w:rFonts w:eastAsia="Times New Roman" w:cstheme="minorHAnsi"/>
          <w:color w:val="222222"/>
        </w:rPr>
        <w:t xml:space="preserve">a range of instructional and assessment examples. </w:t>
      </w:r>
      <w:bookmarkEnd w:id="0"/>
      <w:r w:rsidR="009F3AA0" w:rsidRPr="009F3AA0">
        <w:rPr>
          <w:rFonts w:eastAsia="Times New Roman" w:cstheme="minorHAnsi"/>
          <w:color w:val="222222"/>
        </w:rPr>
        <w:t>We almost always begin here.</w:t>
      </w:r>
      <w:r w:rsidR="009F3AA0">
        <w:rPr>
          <w:rFonts w:eastAsia="Times New Roman" w:cstheme="minorHAnsi"/>
          <w:color w:val="222222"/>
        </w:rPr>
        <w:t xml:space="preserve"> </w:t>
      </w:r>
      <w:r w:rsidR="009F3AA0" w:rsidRPr="009F3AA0">
        <w:rPr>
          <w:rFonts w:cstheme="minorHAnsi"/>
          <w:color w:val="0070C0"/>
          <w:sz w:val="24"/>
          <w:szCs w:val="24"/>
        </w:rPr>
        <w:t>(</w:t>
      </w:r>
      <w:r w:rsidR="009F3AA0">
        <w:rPr>
          <w:rFonts w:cstheme="minorHAnsi"/>
          <w:color w:val="0070C0"/>
          <w:sz w:val="24"/>
          <w:szCs w:val="24"/>
        </w:rPr>
        <w:t>Based on c</w:t>
      </w:r>
      <w:r w:rsidR="009F3AA0" w:rsidRPr="009F3AA0">
        <w:rPr>
          <w:rFonts w:cstheme="minorHAnsi"/>
          <w:color w:val="0070C0"/>
          <w:sz w:val="24"/>
          <w:szCs w:val="24"/>
        </w:rPr>
        <w:t xml:space="preserve">hapter </w:t>
      </w:r>
      <w:r w:rsidR="009F3AA0">
        <w:rPr>
          <w:rFonts w:cstheme="minorHAnsi"/>
          <w:color w:val="0070C0"/>
          <w:sz w:val="24"/>
          <w:szCs w:val="24"/>
        </w:rPr>
        <w:t>1</w:t>
      </w:r>
      <w:r w:rsidR="009F3AA0" w:rsidRPr="009F3AA0">
        <w:rPr>
          <w:rFonts w:cstheme="minorHAnsi"/>
          <w:color w:val="0070C0"/>
          <w:sz w:val="24"/>
          <w:szCs w:val="24"/>
        </w:rPr>
        <w:t xml:space="preserve"> of </w:t>
      </w:r>
      <w:r w:rsidR="009F3AA0" w:rsidRPr="009F3AA0">
        <w:rPr>
          <w:rFonts w:cstheme="minorHAnsi"/>
          <w:i/>
          <w:iCs/>
          <w:color w:val="0070C0"/>
          <w:sz w:val="24"/>
          <w:szCs w:val="24"/>
        </w:rPr>
        <w:t>Rigor by Design, Not Chance</w:t>
      </w:r>
      <w:r w:rsidR="009F3AA0" w:rsidRPr="009F3AA0">
        <w:rPr>
          <w:rFonts w:cstheme="minorHAnsi"/>
          <w:color w:val="0070C0"/>
          <w:sz w:val="24"/>
          <w:szCs w:val="24"/>
        </w:rPr>
        <w:t>)</w:t>
      </w:r>
    </w:p>
    <w:p w14:paraId="7EF1143B" w14:textId="649ADBC6" w:rsidR="00C26CA4" w:rsidRPr="0034051A" w:rsidRDefault="00C26CA4" w:rsidP="00C26CA4">
      <w:pPr>
        <w:pStyle w:val="ListParagraph"/>
        <w:numPr>
          <w:ilvl w:val="0"/>
          <w:numId w:val="1"/>
        </w:numPr>
        <w:shd w:val="clear" w:color="auto" w:fill="FFFFFF"/>
        <w:spacing w:line="276" w:lineRule="auto"/>
        <w:outlineLvl w:val="0"/>
        <w:rPr>
          <w:rFonts w:eastAsia="Times New Roman" w:cstheme="minorHAnsi"/>
          <w:b/>
          <w:bCs/>
          <w:color w:val="000000"/>
          <w:spacing w:val="3"/>
          <w:kern w:val="36"/>
          <w:sz w:val="24"/>
          <w:szCs w:val="24"/>
        </w:rPr>
      </w:pPr>
      <w:r w:rsidRPr="0034051A">
        <w:rPr>
          <w:rFonts w:eastAsia="Times New Roman" w:cstheme="minorHAnsi"/>
          <w:b/>
          <w:bCs/>
          <w:color w:val="000000"/>
          <w:spacing w:val="3"/>
          <w:kern w:val="36"/>
          <w:sz w:val="24"/>
          <w:szCs w:val="24"/>
        </w:rPr>
        <w:lastRenderedPageBreak/>
        <w:t>Rigor by Design, Not Chance: Supporting Deeper Thinking Through Actionable Instruction and Assessment</w:t>
      </w:r>
    </w:p>
    <w:p w14:paraId="01A216B2" w14:textId="4244C08E" w:rsidR="00C26CA4" w:rsidRPr="00295FFD" w:rsidRDefault="00C26CA4" w:rsidP="00295FFD">
      <w:pPr>
        <w:pStyle w:val="ListParagraph"/>
        <w:spacing w:line="276" w:lineRule="auto"/>
        <w:rPr>
          <w:rFonts w:cstheme="minorHAnsi"/>
          <w:b/>
          <w:color w:val="0070C0"/>
          <w:sz w:val="24"/>
          <w:szCs w:val="24"/>
        </w:rPr>
      </w:pPr>
      <w:r w:rsidRPr="00C26CA4">
        <w:rPr>
          <w:rFonts w:cstheme="minorHAnsi"/>
          <w:color w:val="000000"/>
          <w:spacing w:val="3"/>
          <w:shd w:val="clear" w:color="auto" w:fill="FFFFFF"/>
        </w:rPr>
        <w:t>Today, we expect </w:t>
      </w:r>
      <w:r w:rsidRPr="00C26CA4">
        <w:rPr>
          <w:rFonts w:cstheme="minorHAnsi"/>
          <w:i/>
          <w:iCs/>
          <w:color w:val="000000"/>
          <w:spacing w:val="3"/>
          <w:shd w:val="clear" w:color="auto" w:fill="FFFFFF"/>
        </w:rPr>
        <w:t>every</w:t>
      </w:r>
      <w:r w:rsidRPr="00C26CA4">
        <w:rPr>
          <w:rFonts w:cstheme="minorHAnsi"/>
          <w:color w:val="000000"/>
          <w:spacing w:val="3"/>
          <w:shd w:val="clear" w:color="auto" w:fill="FFFFFF"/>
        </w:rPr>
        <w:t> student to be ready for the challenges of the 21st century—to learn more, to master new technologies, to understand more deeply, and to </w:t>
      </w:r>
      <w:r w:rsidRPr="00C26CA4">
        <w:rPr>
          <w:rFonts w:cstheme="minorHAnsi"/>
          <w:i/>
          <w:iCs/>
          <w:color w:val="000000"/>
          <w:spacing w:val="3"/>
          <w:shd w:val="clear" w:color="auto" w:fill="FFFFFF"/>
        </w:rPr>
        <w:t>transfer </w:t>
      </w:r>
      <w:r w:rsidRPr="00C26CA4">
        <w:rPr>
          <w:rFonts w:cstheme="minorHAnsi"/>
          <w:color w:val="000000"/>
          <w:spacing w:val="3"/>
          <w:shd w:val="clear" w:color="auto" w:fill="FFFFFF"/>
        </w:rPr>
        <w:t xml:space="preserve">what they've learned to real-world contexts. Integrating 5 evidence-based "teacher moves" in an Actionable Assessment Cycle can build a supportive classroom culture for deeper thinking and self-directed learning. Karin will define what “actionable assessment” is and provide </w:t>
      </w:r>
      <w:r w:rsidR="009F3AA0">
        <w:rPr>
          <w:rFonts w:cstheme="minorHAnsi"/>
          <w:color w:val="000000"/>
          <w:spacing w:val="3"/>
          <w:shd w:val="clear" w:color="auto" w:fill="FFFFFF"/>
        </w:rPr>
        <w:t xml:space="preserve">content-specific </w:t>
      </w:r>
      <w:r w:rsidRPr="00C26CA4">
        <w:rPr>
          <w:rFonts w:cstheme="minorHAnsi"/>
          <w:color w:val="000000"/>
          <w:spacing w:val="3"/>
          <w:shd w:val="clear" w:color="auto" w:fill="FFFFFF"/>
        </w:rPr>
        <w:t>examples for lesson</w:t>
      </w:r>
      <w:r w:rsidR="0034051A">
        <w:rPr>
          <w:rFonts w:cstheme="minorHAnsi"/>
          <w:color w:val="000000"/>
          <w:spacing w:val="3"/>
          <w:shd w:val="clear" w:color="auto" w:fill="FFFFFF"/>
        </w:rPr>
        <w:t xml:space="preserve"> and unit</w:t>
      </w:r>
      <w:r w:rsidRPr="00C26CA4">
        <w:rPr>
          <w:rFonts w:cstheme="minorHAnsi"/>
          <w:color w:val="000000"/>
          <w:spacing w:val="3"/>
          <w:shd w:val="clear" w:color="auto" w:fill="FFFFFF"/>
        </w:rPr>
        <w:t xml:space="preserve"> planning within an actionable assessment cycle.</w:t>
      </w:r>
      <w:r>
        <w:rPr>
          <w:rFonts w:cstheme="minorHAnsi"/>
          <w:color w:val="000000"/>
          <w:spacing w:val="3"/>
          <w:shd w:val="clear" w:color="auto" w:fill="FFFFFF"/>
        </w:rPr>
        <w:t xml:space="preserve"> </w:t>
      </w:r>
      <w:r w:rsidR="009F3AA0" w:rsidRPr="00480621">
        <w:rPr>
          <w:rFonts w:cstheme="minorHAnsi"/>
          <w:color w:val="0070C0"/>
          <w:spacing w:val="3"/>
          <w:shd w:val="clear" w:color="auto" w:fill="FFFFFF"/>
        </w:rPr>
        <w:t>This can be broken into several sessions with practice time between sessions.</w:t>
      </w:r>
      <w:r w:rsidR="00295FFD">
        <w:rPr>
          <w:rFonts w:cstheme="minorHAnsi"/>
          <w:color w:val="0070C0"/>
          <w:spacing w:val="3"/>
          <w:shd w:val="clear" w:color="auto" w:fill="FFFFFF"/>
        </w:rPr>
        <w:t xml:space="preserve"> </w:t>
      </w:r>
      <w:r w:rsidR="00295FFD" w:rsidRPr="00295FFD">
        <w:rPr>
          <w:rFonts w:cstheme="minorHAnsi"/>
          <w:color w:val="0070C0"/>
          <w:spacing w:val="3"/>
          <w:shd w:val="clear" w:color="auto" w:fill="FFFFFF"/>
        </w:rPr>
        <w:t>For example</w:t>
      </w:r>
      <w:r w:rsidR="00295FFD">
        <w:rPr>
          <w:rFonts w:cstheme="minorHAnsi"/>
          <w:color w:val="0070C0"/>
          <w:spacing w:val="3"/>
          <w:shd w:val="clear" w:color="auto" w:fill="FFFFFF"/>
        </w:rPr>
        <w:t xml:space="preserve">, </w:t>
      </w:r>
      <w:r w:rsidR="00295FFD" w:rsidRPr="00295FFD">
        <w:rPr>
          <w:rFonts w:cstheme="minorHAnsi"/>
          <w:color w:val="0070C0"/>
          <w:spacing w:val="3"/>
          <w:shd w:val="clear" w:color="auto" w:fill="FFFFFF"/>
        </w:rPr>
        <w:t>there might be a session o</w:t>
      </w:r>
      <w:r w:rsidR="00295FFD">
        <w:rPr>
          <w:rFonts w:cstheme="minorHAnsi"/>
          <w:color w:val="0070C0"/>
          <w:spacing w:val="3"/>
          <w:shd w:val="clear" w:color="auto" w:fill="FFFFFF"/>
        </w:rPr>
        <w:t xml:space="preserve">n </w:t>
      </w:r>
      <w:r w:rsidR="00295FFD" w:rsidRPr="00295FFD">
        <w:rPr>
          <w:rFonts w:cstheme="minorHAnsi"/>
          <w:color w:val="0070C0"/>
          <w:spacing w:val="3"/>
          <w:shd w:val="clear" w:color="auto" w:fill="FFFFFF"/>
        </w:rPr>
        <w:t>using more effective questioning strategies and another on metacognitive and self-assessment activities</w:t>
      </w:r>
      <w:r w:rsidR="00295FFD">
        <w:rPr>
          <w:rFonts w:cstheme="minorHAnsi"/>
          <w:color w:val="0070C0"/>
          <w:spacing w:val="3"/>
          <w:shd w:val="clear" w:color="auto" w:fill="FFFFFF"/>
        </w:rPr>
        <w:t xml:space="preserve">. </w:t>
      </w:r>
      <w:r w:rsidR="00295FFD" w:rsidRPr="009F3AA0">
        <w:rPr>
          <w:rFonts w:cstheme="minorHAnsi"/>
          <w:color w:val="0070C0"/>
          <w:sz w:val="24"/>
          <w:szCs w:val="24"/>
        </w:rPr>
        <w:t>(Chapter</w:t>
      </w:r>
      <w:r w:rsidR="00295FFD">
        <w:rPr>
          <w:rFonts w:cstheme="minorHAnsi"/>
          <w:color w:val="0070C0"/>
          <w:sz w:val="24"/>
          <w:szCs w:val="24"/>
        </w:rPr>
        <w:t>s</w:t>
      </w:r>
      <w:r w:rsidR="00295FFD" w:rsidRPr="009F3AA0">
        <w:rPr>
          <w:rFonts w:cstheme="minorHAnsi"/>
          <w:color w:val="0070C0"/>
          <w:sz w:val="24"/>
          <w:szCs w:val="24"/>
        </w:rPr>
        <w:t xml:space="preserve"> </w:t>
      </w:r>
      <w:r w:rsidR="00295FFD">
        <w:rPr>
          <w:rFonts w:cstheme="minorHAnsi"/>
          <w:color w:val="0070C0"/>
          <w:sz w:val="24"/>
          <w:szCs w:val="24"/>
        </w:rPr>
        <w:t>2 and 6</w:t>
      </w:r>
      <w:r w:rsidR="00295FFD" w:rsidRPr="009F3AA0">
        <w:rPr>
          <w:rFonts w:cstheme="minorHAnsi"/>
          <w:color w:val="0070C0"/>
          <w:sz w:val="24"/>
          <w:szCs w:val="24"/>
        </w:rPr>
        <w:t xml:space="preserve"> of </w:t>
      </w:r>
      <w:r w:rsidR="00295FFD" w:rsidRPr="009F3AA0">
        <w:rPr>
          <w:rFonts w:cstheme="minorHAnsi"/>
          <w:i/>
          <w:iCs/>
          <w:color w:val="0070C0"/>
          <w:sz w:val="24"/>
          <w:szCs w:val="24"/>
        </w:rPr>
        <w:t>Rigor by Design, Not Chance</w:t>
      </w:r>
      <w:r w:rsidR="00295FFD" w:rsidRPr="009F3AA0">
        <w:rPr>
          <w:rFonts w:cstheme="minorHAnsi"/>
          <w:color w:val="0070C0"/>
          <w:sz w:val="24"/>
          <w:szCs w:val="24"/>
        </w:rPr>
        <w:t>)</w:t>
      </w:r>
    </w:p>
    <w:p w14:paraId="3A83A1F9" w14:textId="0848BE71" w:rsidR="00480621" w:rsidRPr="00480621" w:rsidRDefault="009F3AA0" w:rsidP="009F3AA0">
      <w:pPr>
        <w:pStyle w:val="ListParagraph"/>
        <w:numPr>
          <w:ilvl w:val="0"/>
          <w:numId w:val="1"/>
        </w:numPr>
        <w:spacing w:line="276" w:lineRule="auto"/>
        <w:rPr>
          <w:rFonts w:cstheme="minorHAnsi"/>
          <w:b/>
          <w:color w:val="0070C0"/>
          <w:sz w:val="24"/>
          <w:szCs w:val="24"/>
        </w:rPr>
      </w:pPr>
      <w:r>
        <w:rPr>
          <w:rFonts w:cstheme="minorHAnsi"/>
          <w:b/>
          <w:sz w:val="24"/>
          <w:szCs w:val="24"/>
        </w:rPr>
        <w:t xml:space="preserve">Designing </w:t>
      </w:r>
      <w:r w:rsidR="0034051A">
        <w:rPr>
          <w:rFonts w:cstheme="minorHAnsi"/>
          <w:b/>
          <w:sz w:val="24"/>
          <w:szCs w:val="24"/>
        </w:rPr>
        <w:t>F</w:t>
      </w:r>
      <w:r w:rsidRPr="00094ABF">
        <w:rPr>
          <w:rFonts w:cstheme="minorHAnsi"/>
          <w:b/>
          <w:sz w:val="24"/>
          <w:szCs w:val="24"/>
        </w:rPr>
        <w:t xml:space="preserve">ormative and </w:t>
      </w:r>
      <w:r w:rsidR="0034051A">
        <w:rPr>
          <w:rFonts w:cstheme="minorHAnsi"/>
          <w:b/>
          <w:sz w:val="24"/>
          <w:szCs w:val="24"/>
        </w:rPr>
        <w:t>P</w:t>
      </w:r>
      <w:r w:rsidRPr="00094ABF">
        <w:rPr>
          <w:rFonts w:cstheme="minorHAnsi"/>
          <w:b/>
          <w:sz w:val="24"/>
          <w:szCs w:val="24"/>
        </w:rPr>
        <w:t>erformance</w:t>
      </w:r>
      <w:r w:rsidR="0034051A">
        <w:rPr>
          <w:rFonts w:cstheme="minorHAnsi"/>
          <w:b/>
          <w:sz w:val="24"/>
          <w:szCs w:val="24"/>
        </w:rPr>
        <w:t>-Based</w:t>
      </w:r>
      <w:r w:rsidRPr="00094ABF">
        <w:rPr>
          <w:rFonts w:cstheme="minorHAnsi"/>
          <w:b/>
          <w:sz w:val="24"/>
          <w:szCs w:val="24"/>
        </w:rPr>
        <w:t xml:space="preserve"> </w:t>
      </w:r>
      <w:r w:rsidR="0034051A">
        <w:rPr>
          <w:rFonts w:cstheme="minorHAnsi"/>
          <w:b/>
          <w:sz w:val="24"/>
          <w:szCs w:val="24"/>
        </w:rPr>
        <w:t>A</w:t>
      </w:r>
      <w:r w:rsidRPr="00094ABF">
        <w:rPr>
          <w:rFonts w:cstheme="minorHAnsi"/>
          <w:b/>
          <w:sz w:val="24"/>
          <w:szCs w:val="24"/>
        </w:rPr>
        <w:t>ssessment</w:t>
      </w:r>
      <w:r>
        <w:rPr>
          <w:rFonts w:cstheme="minorHAnsi"/>
          <w:b/>
          <w:sz w:val="24"/>
          <w:szCs w:val="24"/>
        </w:rPr>
        <w:t xml:space="preserve"> </w:t>
      </w:r>
    </w:p>
    <w:p w14:paraId="7BB5EC59" w14:textId="0E4A6080" w:rsidR="009F3AA0" w:rsidRPr="0034051A" w:rsidRDefault="009F3AA0" w:rsidP="0034051A">
      <w:pPr>
        <w:spacing w:line="276" w:lineRule="auto"/>
        <w:ind w:left="720"/>
        <w:rPr>
          <w:rFonts w:cstheme="minorHAnsi"/>
          <w:b/>
          <w:color w:val="0070C0"/>
          <w:sz w:val="24"/>
          <w:szCs w:val="24"/>
        </w:rPr>
      </w:pPr>
      <w:r w:rsidRPr="0034051A">
        <w:rPr>
          <w:rFonts w:cstheme="minorHAnsi"/>
          <w:sz w:val="24"/>
          <w:szCs w:val="24"/>
        </w:rPr>
        <w:t>In this session, we examine ways to increase DOK levels of current assessments by analyzing multiple content examples provided and an existing unit of study that teachers bring with them. Purposes and uses for common</w:t>
      </w:r>
      <w:r w:rsidR="0034051A">
        <w:rPr>
          <w:rFonts w:cstheme="minorHAnsi"/>
          <w:sz w:val="24"/>
          <w:szCs w:val="24"/>
        </w:rPr>
        <w:t xml:space="preserve"> success criteria </w:t>
      </w:r>
      <w:r w:rsidRPr="0034051A">
        <w:rPr>
          <w:rFonts w:cstheme="minorHAnsi"/>
          <w:sz w:val="24"/>
          <w:szCs w:val="24"/>
        </w:rPr>
        <w:t xml:space="preserve">and protocols for student work analysis will be practiced. Teachers collaboratively draft a performance assessment (scenario, task, or problem-based learning project) using her STARS protocol. </w:t>
      </w:r>
      <w:r w:rsidRPr="0034051A">
        <w:rPr>
          <w:rFonts w:cstheme="minorHAnsi"/>
          <w:color w:val="0070C0"/>
          <w:sz w:val="24"/>
          <w:szCs w:val="24"/>
        </w:rPr>
        <w:t xml:space="preserve">(Chapter 5 of </w:t>
      </w:r>
      <w:r w:rsidRPr="0034051A">
        <w:rPr>
          <w:rFonts w:cstheme="minorHAnsi"/>
          <w:i/>
          <w:iCs/>
          <w:color w:val="0070C0"/>
          <w:sz w:val="24"/>
          <w:szCs w:val="24"/>
        </w:rPr>
        <w:t>Rigor by Design, Not Chance</w:t>
      </w:r>
      <w:r w:rsidRPr="0034051A">
        <w:rPr>
          <w:rFonts w:cstheme="minorHAnsi"/>
          <w:color w:val="0070C0"/>
          <w:sz w:val="24"/>
          <w:szCs w:val="24"/>
        </w:rPr>
        <w:t>)</w:t>
      </w:r>
    </w:p>
    <w:p w14:paraId="39F1AB96" w14:textId="5648690D" w:rsidR="009F3AA0" w:rsidRPr="009F3AA0" w:rsidRDefault="009F3AA0" w:rsidP="009F3AA0">
      <w:pPr>
        <w:pStyle w:val="ListParagraph"/>
        <w:numPr>
          <w:ilvl w:val="0"/>
          <w:numId w:val="1"/>
        </w:numPr>
        <w:spacing w:line="276" w:lineRule="auto"/>
        <w:rPr>
          <w:rFonts w:cstheme="minorHAnsi"/>
          <w:bCs/>
          <w:color w:val="0070C0"/>
          <w:sz w:val="24"/>
          <w:szCs w:val="24"/>
        </w:rPr>
      </w:pPr>
      <w:bookmarkStart w:id="1" w:name="_Hlk21006105"/>
      <w:r w:rsidRPr="00094ABF">
        <w:rPr>
          <w:rFonts w:eastAsia="Times New Roman" w:cstheme="minorHAnsi"/>
          <w:b/>
          <w:color w:val="222222"/>
          <w:sz w:val="24"/>
          <w:szCs w:val="24"/>
        </w:rPr>
        <w:t>Rigor by Design:</w:t>
      </w:r>
      <w:r w:rsidRPr="00094ABF">
        <w:rPr>
          <w:rFonts w:eastAsia="Times New Roman" w:cstheme="minorHAnsi"/>
          <w:color w:val="222222"/>
          <w:sz w:val="24"/>
          <w:szCs w:val="24"/>
        </w:rPr>
        <w:t xml:space="preserve"> </w:t>
      </w:r>
      <w:r w:rsidRPr="00094ABF">
        <w:rPr>
          <w:rFonts w:eastAsia="Times New Roman" w:cstheme="minorHAnsi"/>
          <w:b/>
          <w:color w:val="222222"/>
          <w:sz w:val="24"/>
          <w:szCs w:val="24"/>
        </w:rPr>
        <w:t xml:space="preserve">Looking for Deeper Learning in all the Right Places: </w:t>
      </w:r>
      <w:r w:rsidRPr="00094ABF">
        <w:rPr>
          <w:rFonts w:eastAsia="Times New Roman" w:cstheme="minorHAnsi"/>
          <w:color w:val="222222"/>
          <w:sz w:val="24"/>
          <w:szCs w:val="24"/>
        </w:rPr>
        <w:t xml:space="preserve">This session explores how the Hess CRM illustrates teacher - student role “shifts” to move towards more student-centered (personalized and problem-based) learning. Participants will practice using the Hess’ Walk-Through tools to look for examples of deeper questioning and discourse, complex tasks, and use of </w:t>
      </w:r>
      <w:r w:rsidRPr="00094ABF">
        <w:rPr>
          <w:rFonts w:eastAsia="Times New Roman" w:cstheme="minorHAnsi"/>
          <w:i/>
          <w:color w:val="222222"/>
          <w:sz w:val="24"/>
          <w:szCs w:val="24"/>
        </w:rPr>
        <w:t>strategic</w:t>
      </w:r>
      <w:r w:rsidRPr="00094ABF">
        <w:rPr>
          <w:rFonts w:eastAsia="Times New Roman" w:cstheme="minorHAnsi"/>
          <w:color w:val="222222"/>
          <w:sz w:val="24"/>
          <w:szCs w:val="24"/>
        </w:rPr>
        <w:t xml:space="preserve"> scaffolding.</w:t>
      </w:r>
      <w:r w:rsidRPr="009F3AA0">
        <w:rPr>
          <w:rFonts w:eastAsia="Times New Roman" w:cstheme="minorHAnsi"/>
          <w:b/>
          <w:color w:val="222222"/>
          <w:sz w:val="24"/>
          <w:szCs w:val="24"/>
        </w:rPr>
        <w:t xml:space="preserve"> </w:t>
      </w:r>
      <w:r w:rsidR="00480621">
        <w:rPr>
          <w:rFonts w:eastAsia="Times New Roman" w:cstheme="minorHAnsi"/>
          <w:bCs/>
          <w:color w:val="0070C0"/>
          <w:sz w:val="24"/>
          <w:szCs w:val="24"/>
        </w:rPr>
        <w:t>Designed for</w:t>
      </w:r>
      <w:r w:rsidRPr="009F3AA0">
        <w:rPr>
          <w:rFonts w:eastAsia="Times New Roman" w:cstheme="minorHAnsi"/>
          <w:bCs/>
          <w:color w:val="0070C0"/>
          <w:sz w:val="24"/>
          <w:szCs w:val="24"/>
        </w:rPr>
        <w:t xml:space="preserve"> instructional coaches, school leaders, or peer coaching activities</w:t>
      </w:r>
      <w:r>
        <w:rPr>
          <w:rFonts w:eastAsia="Times New Roman" w:cstheme="minorHAnsi"/>
          <w:bCs/>
          <w:color w:val="0070C0"/>
          <w:sz w:val="24"/>
          <w:szCs w:val="24"/>
        </w:rPr>
        <w:t xml:space="preserve">. </w:t>
      </w:r>
      <w:r w:rsidRPr="009F3AA0">
        <w:rPr>
          <w:rFonts w:eastAsia="Times New Roman" w:cstheme="minorHAnsi"/>
          <w:bCs/>
          <w:color w:val="0070C0"/>
          <w:sz w:val="24"/>
          <w:szCs w:val="24"/>
        </w:rPr>
        <w:t>Some schools invite Karin to do collaborative walk-throughs and debriefing with them.</w:t>
      </w:r>
    </w:p>
    <w:bookmarkEnd w:id="1"/>
    <w:p w14:paraId="77A4232F" w14:textId="1570B0CA" w:rsidR="00703AAA" w:rsidRDefault="00480621" w:rsidP="002C62DA">
      <w:pPr>
        <w:pStyle w:val="ListParagraph"/>
        <w:numPr>
          <w:ilvl w:val="0"/>
          <w:numId w:val="1"/>
        </w:numPr>
        <w:spacing w:line="276" w:lineRule="auto"/>
        <w:rPr>
          <w:b/>
          <w:bCs/>
          <w:sz w:val="24"/>
          <w:szCs w:val="24"/>
        </w:rPr>
      </w:pPr>
      <w:r w:rsidRPr="00480621">
        <w:rPr>
          <w:b/>
          <w:bCs/>
          <w:sz w:val="24"/>
          <w:szCs w:val="24"/>
        </w:rPr>
        <w:t xml:space="preserve">Examining </w:t>
      </w:r>
      <w:r>
        <w:rPr>
          <w:b/>
          <w:bCs/>
          <w:sz w:val="24"/>
          <w:szCs w:val="24"/>
        </w:rPr>
        <w:t xml:space="preserve">Formative Assessments and </w:t>
      </w:r>
      <w:r w:rsidRPr="00480621">
        <w:rPr>
          <w:b/>
          <w:bCs/>
          <w:sz w:val="24"/>
          <w:szCs w:val="24"/>
        </w:rPr>
        <w:t>Student Work</w:t>
      </w:r>
      <w:r>
        <w:rPr>
          <w:b/>
          <w:bCs/>
          <w:sz w:val="24"/>
          <w:szCs w:val="24"/>
        </w:rPr>
        <w:t xml:space="preserve"> Samples</w:t>
      </w:r>
    </w:p>
    <w:p w14:paraId="10989129" w14:textId="58CF600F" w:rsidR="00480621" w:rsidRDefault="00480621" w:rsidP="00480621">
      <w:pPr>
        <w:pStyle w:val="ListParagraph"/>
        <w:spacing w:line="276" w:lineRule="auto"/>
        <w:rPr>
          <w:rFonts w:eastAsia="Times New Roman" w:cstheme="minorHAnsi"/>
          <w:bCs/>
          <w:color w:val="0070C0"/>
          <w:sz w:val="24"/>
          <w:szCs w:val="24"/>
        </w:rPr>
      </w:pPr>
      <w:r>
        <w:rPr>
          <w:sz w:val="24"/>
          <w:szCs w:val="24"/>
        </w:rPr>
        <w:t xml:space="preserve">Participants revise </w:t>
      </w:r>
      <w:r w:rsidRPr="00480621">
        <w:rPr>
          <w:sz w:val="24"/>
          <w:szCs w:val="24"/>
        </w:rPr>
        <w:t>assessments to achieve deeper more rigorous learning</w:t>
      </w:r>
      <w:r>
        <w:rPr>
          <w:sz w:val="24"/>
          <w:szCs w:val="24"/>
        </w:rPr>
        <w:t xml:space="preserve">. </w:t>
      </w:r>
      <w:r w:rsidRPr="00480621">
        <w:rPr>
          <w:sz w:val="24"/>
          <w:szCs w:val="24"/>
        </w:rPr>
        <w:t>Then they collect work samples across classrooms and collaboratively analyze results</w:t>
      </w:r>
      <w:r>
        <w:rPr>
          <w:sz w:val="24"/>
          <w:szCs w:val="24"/>
        </w:rPr>
        <w:t xml:space="preserve">. </w:t>
      </w:r>
      <w:r>
        <w:rPr>
          <w:rFonts w:eastAsia="Times New Roman" w:cstheme="minorHAnsi"/>
          <w:bCs/>
          <w:color w:val="0070C0"/>
          <w:sz w:val="24"/>
          <w:szCs w:val="24"/>
        </w:rPr>
        <w:t>Designed for</w:t>
      </w:r>
      <w:r w:rsidRPr="009F3AA0">
        <w:rPr>
          <w:rFonts w:eastAsia="Times New Roman" w:cstheme="minorHAnsi"/>
          <w:bCs/>
          <w:color w:val="0070C0"/>
          <w:sz w:val="24"/>
          <w:szCs w:val="24"/>
        </w:rPr>
        <w:t xml:space="preserve"> instructional coaches</w:t>
      </w:r>
      <w:r>
        <w:rPr>
          <w:rFonts w:eastAsia="Times New Roman" w:cstheme="minorHAnsi"/>
          <w:bCs/>
          <w:color w:val="0070C0"/>
          <w:sz w:val="24"/>
          <w:szCs w:val="24"/>
        </w:rPr>
        <w:t xml:space="preserve"> and PLC </w:t>
      </w:r>
      <w:r w:rsidRPr="009F3AA0">
        <w:rPr>
          <w:rFonts w:eastAsia="Times New Roman" w:cstheme="minorHAnsi"/>
          <w:bCs/>
          <w:color w:val="0070C0"/>
          <w:sz w:val="24"/>
          <w:szCs w:val="24"/>
        </w:rPr>
        <w:t>activities</w:t>
      </w:r>
      <w:r>
        <w:rPr>
          <w:rFonts w:eastAsia="Times New Roman" w:cstheme="minorHAnsi"/>
          <w:bCs/>
          <w:color w:val="0070C0"/>
          <w:sz w:val="24"/>
          <w:szCs w:val="24"/>
        </w:rPr>
        <w:t xml:space="preserve">. </w:t>
      </w:r>
    </w:p>
    <w:p w14:paraId="23CE089B" w14:textId="31CFD9BF" w:rsidR="00480621" w:rsidRPr="00480621" w:rsidRDefault="00480621" w:rsidP="00480621">
      <w:pPr>
        <w:pStyle w:val="ListParagraph"/>
        <w:numPr>
          <w:ilvl w:val="0"/>
          <w:numId w:val="1"/>
        </w:numPr>
        <w:spacing w:line="276" w:lineRule="auto"/>
        <w:rPr>
          <w:rFonts w:cstheme="minorHAnsi"/>
          <w:b/>
          <w:color w:val="0070C0"/>
          <w:sz w:val="24"/>
          <w:szCs w:val="24"/>
        </w:rPr>
      </w:pPr>
      <w:r w:rsidRPr="00480621">
        <w:rPr>
          <w:rFonts w:eastAsia="Times New Roman" w:cstheme="minorHAnsi"/>
          <w:b/>
          <w:sz w:val="24"/>
          <w:szCs w:val="24"/>
        </w:rPr>
        <w:t>Content</w:t>
      </w:r>
      <w:r>
        <w:rPr>
          <w:rFonts w:eastAsia="Times New Roman" w:cstheme="minorHAnsi"/>
          <w:b/>
          <w:sz w:val="24"/>
          <w:szCs w:val="24"/>
        </w:rPr>
        <w:t>-</w:t>
      </w:r>
      <w:r w:rsidRPr="00480621">
        <w:rPr>
          <w:rFonts w:eastAsia="Times New Roman" w:cstheme="minorHAnsi"/>
          <w:b/>
          <w:sz w:val="24"/>
          <w:szCs w:val="24"/>
        </w:rPr>
        <w:t>specific Or grade</w:t>
      </w:r>
      <w:r>
        <w:rPr>
          <w:rFonts w:eastAsia="Times New Roman" w:cstheme="minorHAnsi"/>
          <w:b/>
          <w:sz w:val="24"/>
          <w:szCs w:val="24"/>
        </w:rPr>
        <w:t>-</w:t>
      </w:r>
      <w:r w:rsidRPr="00480621">
        <w:rPr>
          <w:rFonts w:eastAsia="Times New Roman" w:cstheme="minorHAnsi"/>
          <w:b/>
          <w:sz w:val="24"/>
          <w:szCs w:val="24"/>
        </w:rPr>
        <w:t>specific</w:t>
      </w:r>
      <w:r>
        <w:rPr>
          <w:rFonts w:eastAsia="Times New Roman" w:cstheme="minorHAnsi"/>
          <w:b/>
          <w:sz w:val="24"/>
          <w:szCs w:val="24"/>
        </w:rPr>
        <w:t xml:space="preserve"> </w:t>
      </w:r>
      <w:r w:rsidRPr="00480621">
        <w:rPr>
          <w:rFonts w:eastAsia="Times New Roman" w:cstheme="minorHAnsi"/>
          <w:b/>
          <w:sz w:val="24"/>
          <w:szCs w:val="24"/>
        </w:rPr>
        <w:t>DOK workshops</w:t>
      </w:r>
    </w:p>
    <w:p w14:paraId="322F2FA8" w14:textId="39CB48AF" w:rsidR="00480621" w:rsidRPr="00480621" w:rsidRDefault="00480621" w:rsidP="00480621">
      <w:pPr>
        <w:pStyle w:val="ListParagraph"/>
        <w:spacing w:line="276" w:lineRule="auto"/>
        <w:rPr>
          <w:rFonts w:cstheme="minorHAnsi"/>
          <w:bCs/>
          <w:color w:val="0070C0"/>
          <w:sz w:val="24"/>
          <w:szCs w:val="24"/>
        </w:rPr>
      </w:pPr>
      <w:r w:rsidRPr="00480621">
        <w:rPr>
          <w:rFonts w:eastAsia="Times New Roman" w:cstheme="minorHAnsi"/>
          <w:bCs/>
          <w:sz w:val="24"/>
          <w:szCs w:val="24"/>
        </w:rPr>
        <w:t>Kar</w:t>
      </w:r>
      <w:r>
        <w:rPr>
          <w:rFonts w:eastAsia="Times New Roman" w:cstheme="minorHAnsi"/>
          <w:bCs/>
          <w:sz w:val="24"/>
          <w:szCs w:val="24"/>
        </w:rPr>
        <w:t>i</w:t>
      </w:r>
      <w:r w:rsidRPr="00480621">
        <w:rPr>
          <w:rFonts w:eastAsia="Times New Roman" w:cstheme="minorHAnsi"/>
          <w:bCs/>
          <w:sz w:val="24"/>
          <w:szCs w:val="24"/>
        </w:rPr>
        <w:t>n can customize any of the</w:t>
      </w:r>
      <w:r>
        <w:rPr>
          <w:rFonts w:eastAsia="Times New Roman" w:cstheme="minorHAnsi"/>
          <w:bCs/>
          <w:sz w:val="24"/>
          <w:szCs w:val="24"/>
        </w:rPr>
        <w:t xml:space="preserve"> </w:t>
      </w:r>
      <w:r w:rsidRPr="00480621">
        <w:rPr>
          <w:rFonts w:eastAsia="Times New Roman" w:cstheme="minorHAnsi"/>
          <w:bCs/>
          <w:sz w:val="24"/>
          <w:szCs w:val="24"/>
        </w:rPr>
        <w:t>workshops described above for specific content areas or grade level classrooms</w:t>
      </w:r>
      <w:r>
        <w:rPr>
          <w:rFonts w:eastAsia="Times New Roman" w:cstheme="minorHAnsi"/>
          <w:bCs/>
          <w:sz w:val="24"/>
          <w:szCs w:val="24"/>
        </w:rPr>
        <w:t xml:space="preserve">. </w:t>
      </w:r>
      <w:r w:rsidRPr="00480621">
        <w:rPr>
          <w:rFonts w:eastAsia="Times New Roman" w:cstheme="minorHAnsi"/>
          <w:bCs/>
          <w:sz w:val="24"/>
          <w:szCs w:val="24"/>
        </w:rPr>
        <w:t>For example</w:t>
      </w:r>
      <w:r>
        <w:rPr>
          <w:rFonts w:eastAsia="Times New Roman" w:cstheme="minorHAnsi"/>
          <w:bCs/>
          <w:sz w:val="24"/>
          <w:szCs w:val="24"/>
        </w:rPr>
        <w:t xml:space="preserve">, </w:t>
      </w:r>
      <w:r w:rsidRPr="00480621">
        <w:rPr>
          <w:rFonts w:eastAsia="Times New Roman" w:cstheme="minorHAnsi"/>
          <w:bCs/>
          <w:sz w:val="24"/>
          <w:szCs w:val="24"/>
        </w:rPr>
        <w:t>a high school science focus or</w:t>
      </w:r>
      <w:r>
        <w:rPr>
          <w:rFonts w:eastAsia="Times New Roman" w:cstheme="minorHAnsi"/>
          <w:bCs/>
          <w:sz w:val="24"/>
          <w:szCs w:val="24"/>
        </w:rPr>
        <w:t xml:space="preserve"> </w:t>
      </w:r>
      <w:r w:rsidRPr="00480621">
        <w:rPr>
          <w:rFonts w:eastAsia="Times New Roman" w:cstheme="minorHAnsi"/>
          <w:bCs/>
          <w:sz w:val="24"/>
          <w:szCs w:val="24"/>
        </w:rPr>
        <w:t>preK</w:t>
      </w:r>
      <w:r>
        <w:rPr>
          <w:rFonts w:eastAsia="Times New Roman" w:cstheme="minorHAnsi"/>
          <w:bCs/>
          <w:sz w:val="24"/>
          <w:szCs w:val="24"/>
        </w:rPr>
        <w:t>-</w:t>
      </w:r>
      <w:r w:rsidR="00B34F35" w:rsidRPr="00B34F35">
        <w:rPr>
          <w:rFonts w:eastAsia="Times New Roman" w:cstheme="minorHAnsi"/>
          <w:bCs/>
          <w:sz w:val="24"/>
          <w:szCs w:val="24"/>
        </w:rPr>
        <w:t>Can</w:t>
      </w:r>
      <w:r w:rsidRPr="00480621">
        <w:rPr>
          <w:rFonts w:eastAsia="Times New Roman" w:cstheme="minorHAnsi"/>
          <w:bCs/>
          <w:sz w:val="24"/>
          <w:szCs w:val="24"/>
        </w:rPr>
        <w:t>2 focus</w:t>
      </w:r>
      <w:r>
        <w:rPr>
          <w:rFonts w:eastAsia="Times New Roman" w:cstheme="minorHAnsi"/>
          <w:bCs/>
          <w:sz w:val="24"/>
          <w:szCs w:val="24"/>
        </w:rPr>
        <w:t>.</w:t>
      </w:r>
    </w:p>
    <w:sectPr w:rsidR="00480621" w:rsidRPr="00480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D6B"/>
    <w:multiLevelType w:val="hybridMultilevel"/>
    <w:tmpl w:val="EA6C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E7782"/>
    <w:multiLevelType w:val="hybridMultilevel"/>
    <w:tmpl w:val="7350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C3A33"/>
    <w:multiLevelType w:val="hybridMultilevel"/>
    <w:tmpl w:val="F03CD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0734695">
    <w:abstractNumId w:val="1"/>
  </w:num>
  <w:num w:numId="2" w16cid:durableId="242571184">
    <w:abstractNumId w:val="0"/>
  </w:num>
  <w:num w:numId="3" w16cid:durableId="642779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AA"/>
    <w:rsid w:val="00295FFD"/>
    <w:rsid w:val="002C62DA"/>
    <w:rsid w:val="0034051A"/>
    <w:rsid w:val="00480621"/>
    <w:rsid w:val="00661388"/>
    <w:rsid w:val="00703AAA"/>
    <w:rsid w:val="009F3AA0"/>
    <w:rsid w:val="00A06CB9"/>
    <w:rsid w:val="00B34F35"/>
    <w:rsid w:val="00C26CA4"/>
    <w:rsid w:val="00CC42CF"/>
    <w:rsid w:val="00EE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9D84"/>
  <w15:chartTrackingRefBased/>
  <w15:docId w15:val="{9E797BF5-E895-4943-A7D2-AB2908E1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03A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03AAA"/>
    <w:rPr>
      <w:color w:val="0563C1" w:themeColor="hyperlink"/>
      <w:u w:val="single"/>
    </w:rPr>
  </w:style>
  <w:style w:type="character" w:styleId="UnresolvedMention">
    <w:name w:val="Unresolved Mention"/>
    <w:basedOn w:val="DefaultParagraphFont"/>
    <w:uiPriority w:val="99"/>
    <w:semiHidden/>
    <w:unhideWhenUsed/>
    <w:rsid w:val="00703AAA"/>
    <w:rPr>
      <w:color w:val="605E5C"/>
      <w:shd w:val="clear" w:color="auto" w:fill="E1DFDD"/>
    </w:rPr>
  </w:style>
  <w:style w:type="character" w:styleId="FollowedHyperlink">
    <w:name w:val="FollowedHyperlink"/>
    <w:basedOn w:val="DefaultParagraphFont"/>
    <w:uiPriority w:val="99"/>
    <w:semiHidden/>
    <w:unhideWhenUsed/>
    <w:rsid w:val="002C62DA"/>
    <w:rPr>
      <w:color w:val="954F72" w:themeColor="followedHyperlink"/>
      <w:u w:val="single"/>
    </w:rPr>
  </w:style>
  <w:style w:type="paragraph" w:styleId="ListParagraph">
    <w:name w:val="List Paragraph"/>
    <w:basedOn w:val="Normal"/>
    <w:uiPriority w:val="34"/>
    <w:qFormat/>
    <w:rsid w:val="00661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MMdR9nH2JlJqKiGlrDedJA" TargetMode="External"/><Relationship Id="rId3" Type="http://schemas.openxmlformats.org/officeDocument/2006/relationships/settings" Target="settings.xml"/><Relationship Id="rId7" Type="http://schemas.openxmlformats.org/officeDocument/2006/relationships/hyperlink" Target="https://www.karin-h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dleweb.com/49154/how-to-implement-rigor-by-design-not-chance/" TargetMode="External"/><Relationship Id="rId11" Type="http://schemas.openxmlformats.org/officeDocument/2006/relationships/fontTable" Target="fontTable.xml"/><Relationship Id="rId5" Type="http://schemas.openxmlformats.org/officeDocument/2006/relationships/hyperlink" Target="https://www.karin-hess.com/cognitive-rigor-and-dok" TargetMode="External"/><Relationship Id="rId10" Type="http://schemas.openxmlformats.org/officeDocument/2006/relationships/hyperlink" Target="https://www.middleweb.com/49785/how-to-be-strategic-with-scaffolding-strategies/?utm_medium=Email&amp;utm_source=ExactTarget&amp;utm_campaign=20231105_MindShift&amp;mc_key=90817305" TargetMode="External"/><Relationship Id="rId4" Type="http://schemas.openxmlformats.org/officeDocument/2006/relationships/webSettings" Target="webSettings.xml"/><Relationship Id="rId9" Type="http://schemas.openxmlformats.org/officeDocument/2006/relationships/hyperlink" Target="https://www.middleweb.com/47245/6-places-to-find-true-rigor-in-your-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Hess</dc:creator>
  <cp:keywords/>
  <dc:description/>
  <cp:lastModifiedBy>Karin Hess</cp:lastModifiedBy>
  <cp:revision>4</cp:revision>
  <cp:lastPrinted>2023-12-01T18:03:00Z</cp:lastPrinted>
  <dcterms:created xsi:type="dcterms:W3CDTF">2024-02-25T14:08:00Z</dcterms:created>
  <dcterms:modified xsi:type="dcterms:W3CDTF">2024-02-25T14:42:00Z</dcterms:modified>
</cp:coreProperties>
</file>